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E68AA" w14:textId="77777777" w:rsidR="00B77360" w:rsidRPr="00CC383A" w:rsidRDefault="00B77360" w:rsidP="00B77360">
      <w:pPr>
        <w:spacing w:line="320" w:lineRule="exact"/>
        <w:jc w:val="both"/>
        <w:rPr>
          <w:rFonts w:ascii="Arial" w:eastAsia="新細明體" w:hAnsi="Arial" w:cs="Arial"/>
          <w:b/>
          <w:sz w:val="22"/>
          <w:u w:val="single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b/>
          <w:sz w:val="22"/>
          <w:u w:val="single"/>
          <w:shd w:val="clear" w:color="auto" w:fill="FFFFFF"/>
          <w:lang w:eastAsia="zh-TW"/>
        </w:rPr>
        <w:t>附件二：參與</w:t>
      </w:r>
      <w:r w:rsidRPr="00CC383A">
        <w:rPr>
          <w:rFonts w:ascii="Arial" w:eastAsia="新細明體" w:hAnsi="Arial" w:cs="Arial"/>
          <w:b/>
          <w:sz w:val="22"/>
          <w:u w:val="single"/>
          <w:lang w:eastAsia="zh-TW"/>
        </w:rPr>
        <w:t>「</w:t>
      </w:r>
      <w:r w:rsidRPr="00CC383A">
        <w:rPr>
          <w:rFonts w:ascii="Arial" w:eastAsia="新細明體" w:hAnsi="Arial" w:cs="Arial"/>
          <w:b/>
          <w:color w:val="000000"/>
          <w:sz w:val="22"/>
          <w:u w:val="single"/>
          <w:shd w:val="clear" w:color="auto" w:fill="FFFFFF"/>
          <w:lang w:eastAsia="zh-TW"/>
        </w:rPr>
        <w:t>到校學前康復服務試驗計劃」嘉賓分享</w:t>
      </w:r>
    </w:p>
    <w:p w14:paraId="53D2282F" w14:textId="77777777" w:rsidR="00B77360" w:rsidRPr="00CC383A" w:rsidRDefault="00B77360" w:rsidP="00B77360">
      <w:pPr>
        <w:spacing w:line="320" w:lineRule="exact"/>
        <w:jc w:val="both"/>
        <w:rPr>
          <w:rFonts w:ascii="Arial" w:eastAsia="新細明體" w:hAnsi="Arial" w:cs="Arial"/>
          <w:b/>
          <w:sz w:val="22"/>
          <w:shd w:val="clear" w:color="auto" w:fill="FFFFFF"/>
          <w:lang w:eastAsia="zh-TW"/>
        </w:rPr>
      </w:pPr>
    </w:p>
    <w:p w14:paraId="405C7887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TW"/>
        </w:rPr>
        <w:t>在典禮上，教大整全成長發展中心邀得四位參與「到校學前康復服務試驗計劃」的嘉賓分享寶貴經驗。為全港</w:t>
      </w:r>
      <w:r w:rsidRPr="00CC383A">
        <w:rPr>
          <w:rFonts w:ascii="Arial" w:eastAsia="新細明體" w:hAnsi="Arial" w:cs="Arial"/>
          <w:sz w:val="22"/>
          <w:lang w:eastAsia="zh-TW"/>
        </w:rPr>
        <w:t xml:space="preserve"> 48 </w:t>
      </w:r>
      <w:r w:rsidRPr="00CC383A">
        <w:rPr>
          <w:rFonts w:ascii="Arial" w:eastAsia="新細明體" w:hAnsi="Arial" w:cs="Arial"/>
          <w:sz w:val="22"/>
          <w:lang w:eastAsia="zh-TW"/>
        </w:rPr>
        <w:t>間幼稚園提供外展到校支援的協康會區域經理</w:t>
      </w:r>
      <w:r w:rsidRPr="00CC383A">
        <w:rPr>
          <w:rFonts w:ascii="Arial" w:eastAsia="新細明體" w:hAnsi="Arial" w:cs="Arial"/>
          <w:b/>
          <w:sz w:val="22"/>
          <w:lang w:eastAsia="zh-TW"/>
        </w:rPr>
        <w:t>莫惠霞</w:t>
      </w:r>
      <w:r w:rsidRPr="00CC383A">
        <w:rPr>
          <w:rFonts w:ascii="Arial" w:eastAsia="新細明體" w:hAnsi="Arial" w:cs="Arial"/>
          <w:sz w:val="22"/>
          <w:lang w:eastAsia="zh-TW"/>
        </w:rPr>
        <w:t>指出，逾</w:t>
      </w:r>
      <w:r w:rsidRPr="00CC383A">
        <w:rPr>
          <w:rFonts w:ascii="Arial" w:eastAsia="新細明體" w:hAnsi="Arial" w:cs="Arial"/>
          <w:sz w:val="22"/>
          <w:lang w:eastAsia="zh-TW"/>
        </w:rPr>
        <w:t xml:space="preserve"> 400 </w:t>
      </w:r>
      <w:r w:rsidRPr="00CC383A">
        <w:rPr>
          <w:rFonts w:ascii="Arial" w:eastAsia="新細明體" w:hAnsi="Arial" w:cs="Arial"/>
          <w:sz w:val="22"/>
          <w:lang w:eastAsia="zh-TW"/>
        </w:rPr>
        <w:t>參與計劃的幼童中，接近五成為發展遲緩個案，比例最高；這類個案部分是先天性，部分則與本港家長過分保護的育兒方法有關。「例如不少家長會將食物長期剪碎，影響幼兒咀嚼能力，嚴重者更會影響語言發展；家長恐防孩子受傷，不容許攀馬騮架、蕩鞦韆等，減少兒童練習手腳協調、鍛練大小肌肉的機會。」</w:t>
      </w:r>
    </w:p>
    <w:p w14:paraId="3688AAA3" w14:textId="77777777" w:rsidR="00B77360" w:rsidRPr="00CC383A" w:rsidRDefault="00B77360" w:rsidP="00B77360">
      <w:pPr>
        <w:spacing w:line="320" w:lineRule="exact"/>
        <w:rPr>
          <w:rFonts w:ascii="Arial" w:eastAsia="新細明體" w:hAnsi="Arial" w:cs="Arial"/>
          <w:sz w:val="22"/>
          <w:lang w:eastAsia="zh-TW"/>
        </w:rPr>
      </w:pPr>
    </w:p>
    <w:p w14:paraId="3406EFA7" w14:textId="77777777" w:rsidR="00B77360" w:rsidRPr="00CC383A" w:rsidRDefault="00B77360" w:rsidP="00B77360">
      <w:pPr>
        <w:spacing w:line="320" w:lineRule="exact"/>
        <w:ind w:firstLine="480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TW"/>
        </w:rPr>
        <w:t>莫惠霞表示，透過到校外展服務，治療師積極鼓勵家長帶孩子到該會中心訓練，「中心設施及環境都是專為配合學前康復服務而設，學童可在中心打鞦韆、跳彈床、爬繩網等，訓練兒童肌能發展及動作協調。」他們亦教導家長在家中進行訓練，把握孩子六歲前的黃金期。「例如玩拋波遊戲，將蘋果切條給孩子進食，分別可提升大小肌肉及加強嘴嚼力度。」</w:t>
      </w:r>
    </w:p>
    <w:p w14:paraId="0924BB9A" w14:textId="77777777" w:rsidR="00B77360" w:rsidRPr="00CC383A" w:rsidRDefault="00B77360" w:rsidP="00B77360">
      <w:pPr>
        <w:spacing w:line="320" w:lineRule="exact"/>
        <w:rPr>
          <w:rFonts w:ascii="Arial" w:eastAsia="新細明體" w:hAnsi="Arial" w:cs="Arial"/>
          <w:sz w:val="22"/>
          <w:lang w:eastAsia="zh-TW"/>
        </w:rPr>
      </w:pPr>
    </w:p>
    <w:p w14:paraId="613DC5EE" w14:textId="77777777" w:rsidR="00B77360" w:rsidRPr="00CC383A" w:rsidRDefault="00B77360" w:rsidP="00B77360">
      <w:pPr>
        <w:spacing w:line="320" w:lineRule="exact"/>
        <w:ind w:firstLine="480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TW"/>
        </w:rPr>
        <w:t>她續稱，外展計劃令部分不願正視問題的家長，眼見參與的學童大幅進步，終於肯帶孩子接受評估，及早辨別潛在個案。</w:t>
      </w:r>
    </w:p>
    <w:p w14:paraId="19DF2423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207A230A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b/>
          <w:color w:val="000000"/>
          <w:sz w:val="22"/>
          <w:shd w:val="clear" w:color="auto" w:fill="FFFFFF"/>
          <w:lang w:eastAsia="zh-TW"/>
        </w:rPr>
        <w:t>孫太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的五歲兒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子是早產兒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，出生時只有廿四周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(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六個月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)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、不足一磅，早已被評估為發展遲緩，兩歲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時本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已成功輪候社署的學前康復服務。惟訓練中心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在大圍，他們家住北區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，兒子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舟車勞頓接受訓練，又要向學校請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假，影響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學業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計劃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令兒子可在校內接受訓練，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更加融入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校園生活。</w:t>
      </w:r>
    </w:p>
    <w:p w14:paraId="089F05B0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57A9D640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到校服務特點之一，在於家長、學校和專業團隊可互相溝通，孫太更能掌握兒子進度。在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治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療師的指導下，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她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學會利用簡單工具，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因材施教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，「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例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如利用衣夾，鍛鍊兒子手指肌肉；兒子認字較差，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但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愛砌圖，治療師建議將字的筆劃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分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開，透過砌字啟發思維。」經過一年半訓練，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兒子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大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肉發展已較服務初期追回了十二個月能力，小肌肉方面亦由十分弱轉為稍弱，說話能力亦由落後一年半，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HK"/>
        </w:rPr>
        <w:t>倍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減至九個月，成效顯著。</w:t>
      </w:r>
    </w:p>
    <w:p w14:paraId="298D40A0" w14:textId="77777777" w:rsidR="00B77360" w:rsidRPr="00CC383A" w:rsidRDefault="00B77360" w:rsidP="00B77360">
      <w:pPr>
        <w:spacing w:line="320" w:lineRule="exact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2AF4F8C4" w14:textId="77777777" w:rsidR="00B77360" w:rsidRPr="00CC383A" w:rsidRDefault="00B77360" w:rsidP="00B77360">
      <w:pPr>
        <w:spacing w:line="320" w:lineRule="exact"/>
        <w:jc w:val="both"/>
        <w:rPr>
          <w:rFonts w:ascii="Arial" w:eastAsia="新細明體" w:hAnsi="Arial" w:cs="Arial"/>
          <w:b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b/>
          <w:sz w:val="22"/>
          <w:shd w:val="clear" w:color="auto" w:fill="FFFFFF"/>
          <w:lang w:eastAsia="zh-TW"/>
        </w:rPr>
        <w:t>賦予整全眼光</w:t>
      </w:r>
      <w:r w:rsidRPr="00CC383A">
        <w:rPr>
          <w:rFonts w:ascii="Arial" w:eastAsia="新細明體" w:hAnsi="Arial" w:cs="Arial"/>
          <w:b/>
          <w:sz w:val="22"/>
          <w:shd w:val="clear" w:color="auto" w:fill="FFFFFF"/>
          <w:lang w:eastAsia="zh-TW"/>
        </w:rPr>
        <w:t xml:space="preserve">  </w:t>
      </w:r>
      <w:r w:rsidRPr="00CC383A">
        <w:rPr>
          <w:rFonts w:ascii="Arial" w:eastAsia="新細明體" w:hAnsi="Arial" w:cs="Arial"/>
          <w:b/>
          <w:sz w:val="22"/>
          <w:shd w:val="clear" w:color="auto" w:fill="FFFFFF"/>
          <w:lang w:eastAsia="zh-TW"/>
        </w:rPr>
        <w:t>提升教學技巧</w:t>
      </w:r>
    </w:p>
    <w:p w14:paraId="12F84B5A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循道衛理楊震社會服務處支援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26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間幼稚園，其復康服務部部門主管</w:t>
      </w:r>
      <w:r w:rsidRPr="00CC383A">
        <w:rPr>
          <w:rFonts w:ascii="Arial" w:eastAsia="新細明體" w:hAnsi="Arial" w:cs="Arial"/>
          <w:b/>
          <w:color w:val="000000"/>
          <w:sz w:val="22"/>
          <w:shd w:val="clear" w:color="auto" w:fill="FFFFFF"/>
          <w:lang w:eastAsia="zh-TW"/>
        </w:rPr>
        <w:t>鍾姬爾</w:t>
      </w: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指出，到校服務給予教師一副「整全的眼光」，看到學童的獨特「需要」，而不是「問題」，從而度身訂造教學方法。她舉例稱，有小朋友一入課室便周圍走，老師最初視之為問題學生。</w:t>
      </w:r>
    </w:p>
    <w:p w14:paraId="5A6F6E7F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7FEEDDD1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「經過跨專業團隊召開會議，職業治療師從學童的專注力入手，建議運用凹凸的觸覺墊，帶給學童足部或身體刺激，安定他坐立時的情緒；同時特殊幼兒工作員訂立課堂策略，建議老師上課前帶領全班學生進行簡單運動，令學童更專注。」</w:t>
      </w:r>
    </w:p>
    <w:p w14:paraId="09C09969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3CC9F5A3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  <w:r w:rsidRPr="00CC383A"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  <w:t>此外，部分自閉症學童固執沉迷排車仔，只要老師視之為教學提示，也可在訓練中與學生一起玩車仔建立關係，再逐步注入其他學習原素，「如數車仔、畫車仔、辨認車仔顏色等，再擴至玩其他玩具，啟發學童對不同事物的認識。」</w:t>
      </w:r>
    </w:p>
    <w:p w14:paraId="2AE1334D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color w:val="000000"/>
          <w:sz w:val="22"/>
          <w:shd w:val="clear" w:color="auto" w:fill="FFFFFF"/>
          <w:lang w:eastAsia="zh-TW"/>
        </w:rPr>
      </w:pPr>
    </w:p>
    <w:p w14:paraId="1C79D695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TW"/>
        </w:rPr>
        <w:lastRenderedPageBreak/>
        <w:t>佛教金麗幼稚園副校長</w:t>
      </w:r>
      <w:r w:rsidRPr="00CC383A">
        <w:rPr>
          <w:rFonts w:ascii="Arial" w:eastAsia="新細明體" w:hAnsi="Arial" w:cs="Arial"/>
          <w:b/>
          <w:sz w:val="22"/>
          <w:lang w:eastAsia="zh-TW"/>
        </w:rPr>
        <w:t>鄭雅儀</w:t>
      </w:r>
      <w:r w:rsidRPr="00CC383A">
        <w:rPr>
          <w:rFonts w:ascii="Arial" w:eastAsia="新細明體" w:hAnsi="Arial" w:cs="Arial"/>
          <w:sz w:val="22"/>
          <w:lang w:eastAsia="zh-TW"/>
        </w:rPr>
        <w:t>指出，透過跨專業團隊到校觀課，了解有特殊學習需要的學童真實行為及學習表現，向老師提供針對性建議，有助老師帶領學童融入日常生活環境，而不是特意改變環境來遷就學童。</w:t>
      </w:r>
    </w:p>
    <w:p w14:paraId="0929E228" w14:textId="77777777" w:rsidR="00B77360" w:rsidRPr="00CC383A" w:rsidRDefault="00B77360" w:rsidP="00B77360">
      <w:pPr>
        <w:spacing w:line="320" w:lineRule="exact"/>
        <w:jc w:val="both"/>
        <w:rPr>
          <w:rFonts w:ascii="Arial" w:eastAsia="新細明體" w:hAnsi="Arial" w:cs="Arial"/>
          <w:sz w:val="22"/>
          <w:lang w:eastAsia="zh-TW"/>
        </w:rPr>
      </w:pPr>
    </w:p>
    <w:p w14:paraId="26D5CBB6" w14:textId="77777777" w:rsidR="00B77360" w:rsidRPr="00CC383A" w:rsidRDefault="00B77360" w:rsidP="00B77360">
      <w:pPr>
        <w:spacing w:line="320" w:lineRule="exact"/>
        <w:ind w:firstLine="480"/>
        <w:jc w:val="both"/>
        <w:rPr>
          <w:rFonts w:ascii="Arial" w:eastAsia="新細明體" w:hAnsi="Arial" w:cs="Arial"/>
          <w:sz w:val="22"/>
          <w:lang w:eastAsia="zh-TW"/>
        </w:rPr>
      </w:pPr>
      <w:r w:rsidRPr="00CC383A">
        <w:rPr>
          <w:rFonts w:ascii="Arial" w:eastAsia="新細明體" w:hAnsi="Arial" w:cs="Arial"/>
          <w:sz w:val="22"/>
          <w:lang w:eastAsia="zh-TW"/>
        </w:rPr>
        <w:t>「如校內一位特殊學童，專注力弱及不時走動，以往均安排接近老師特別照顧。團隊發現他對課室內的『變型哈哈鏡』感興趣，故建議他擔當小組長，邀請同學參與遊戲，還教導他多望鏡子，用手指頭放在臉上重複拍動，加強專注力和自我概念，並改善行為及社交問題。」此外，校內備有平衡木及攀爬架等，團隊建議老師「就地取材」，可訓練特殊學童的平衡力、手眼協調及耐性等。</w:t>
      </w:r>
    </w:p>
    <w:p w14:paraId="72F4BAEA" w14:textId="77777777" w:rsidR="00B77360" w:rsidRDefault="00B77360" w:rsidP="00B77360">
      <w:pPr>
        <w:rPr>
          <w:lang w:eastAsia="zh-TW"/>
        </w:rPr>
      </w:pPr>
    </w:p>
    <w:p w14:paraId="31B38CE2" w14:textId="77777777" w:rsidR="00C20585" w:rsidRDefault="00B77360">
      <w:pPr>
        <w:rPr>
          <w:lang w:eastAsia="zh-TW"/>
        </w:rPr>
      </w:pPr>
      <w:bookmarkStart w:id="0" w:name="_GoBack"/>
      <w:bookmarkEnd w:id="0"/>
    </w:p>
    <w:sectPr w:rsidR="00C20585" w:rsidSect="002408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60"/>
    <w:rsid w:val="002408DF"/>
    <w:rsid w:val="004812BE"/>
    <w:rsid w:val="00B77360"/>
    <w:rsid w:val="00CC0B49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B01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7360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Macintosh Word</Application>
  <DocSecurity>0</DocSecurity>
  <Lines>9</Lines>
  <Paragraphs>2</Paragraphs>
  <ScaleCrop>false</ScaleCrop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Kwok Chu Vincent</dc:creator>
  <cp:keywords/>
  <dc:description/>
  <cp:lastModifiedBy>PANG, Kwok Chu Vincent</cp:lastModifiedBy>
  <cp:revision>1</cp:revision>
  <dcterms:created xsi:type="dcterms:W3CDTF">2017-06-17T07:44:00Z</dcterms:created>
  <dcterms:modified xsi:type="dcterms:W3CDTF">2017-06-17T07:44:00Z</dcterms:modified>
</cp:coreProperties>
</file>